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8482" w14:textId="58A42711" w:rsidR="00F32B39" w:rsidRPr="00E227B3" w:rsidRDefault="00F32B39" w:rsidP="00F32B39">
      <w:pPr>
        <w:spacing w:after="0"/>
        <w:rPr>
          <w:rFonts w:ascii="Times New Roman" w:hAnsi="Times New Roman" w:cs="Times New Roman"/>
          <w:color w:val="FF0000"/>
          <w:sz w:val="44"/>
          <w:szCs w:val="44"/>
          <w:lang w:val="kk-KZ"/>
        </w:rPr>
      </w:pPr>
      <w:r w:rsidRPr="00E227B3">
        <w:rPr>
          <w:rFonts w:ascii="Times New Roman" w:hAnsi="Times New Roman" w:cs="Times New Roman"/>
          <w:color w:val="FF0000"/>
          <w:sz w:val="44"/>
          <w:szCs w:val="44"/>
          <w:highlight w:val="yellow"/>
          <w:lang w:val="kk-KZ"/>
        </w:rPr>
        <w:t>13   Дәріс -</w:t>
      </w:r>
      <w:r w:rsidR="00E227B3" w:rsidRPr="00E227B3">
        <w:rPr>
          <w:color w:val="FF0000"/>
          <w:sz w:val="44"/>
          <w:szCs w:val="44"/>
          <w:lang w:val="kk-KZ"/>
        </w:rPr>
        <w:t xml:space="preserve"> </w:t>
      </w:r>
      <w:r w:rsidR="00E227B3" w:rsidRPr="00E227B3">
        <w:rPr>
          <w:color w:val="FF0000"/>
          <w:sz w:val="44"/>
          <w:szCs w:val="44"/>
          <w:highlight w:val="green"/>
          <w:lang w:val="kk-KZ"/>
        </w:rPr>
        <w:t>Кәсіпорындардың банкротқа ұшырауы мүмкіндігін болжау әдістері</w:t>
      </w:r>
    </w:p>
    <w:p w14:paraId="6AD01E35" w14:textId="77777777" w:rsidR="00F32B39" w:rsidRPr="00E227B3" w:rsidRDefault="00F32B39" w:rsidP="00F32B39">
      <w:pPr>
        <w:spacing w:after="0"/>
        <w:rPr>
          <w:rFonts w:ascii="Times New Roman" w:hAnsi="Times New Roman" w:cs="Times New Roman"/>
          <w:b/>
          <w:bCs/>
          <w:color w:val="FF0000"/>
          <w:sz w:val="44"/>
          <w:szCs w:val="44"/>
          <w:lang w:val="kk-KZ"/>
        </w:rPr>
      </w:pPr>
    </w:p>
    <w:p w14:paraId="4D23B853" w14:textId="77777777" w:rsidR="00F32B39" w:rsidRPr="00E227B3" w:rsidRDefault="00F32B39" w:rsidP="00F32B39">
      <w:pPr>
        <w:spacing w:after="0"/>
        <w:rPr>
          <w:rFonts w:ascii="Times New Roman" w:hAnsi="Times New Roman" w:cs="Times New Roman"/>
          <w:b/>
          <w:bCs/>
          <w:color w:val="FF0000"/>
          <w:sz w:val="44"/>
          <w:szCs w:val="44"/>
          <w:lang w:val="kk-KZ"/>
        </w:rPr>
      </w:pPr>
      <w:r w:rsidRPr="00E227B3">
        <w:rPr>
          <w:rFonts w:ascii="Times New Roman" w:hAnsi="Times New Roman" w:cs="Times New Roman"/>
          <w:b/>
          <w:bCs/>
          <w:color w:val="FF0000"/>
          <w:sz w:val="44"/>
          <w:szCs w:val="44"/>
          <w:highlight w:val="cyan"/>
          <w:lang w:val="kk-KZ"/>
        </w:rPr>
        <w:t>Сұрақтар:</w:t>
      </w:r>
    </w:p>
    <w:p w14:paraId="6E631AF2" w14:textId="10150CEF" w:rsidR="00F32B39" w:rsidRPr="00E227B3" w:rsidRDefault="00F32B39" w:rsidP="00F32B39">
      <w:pPr>
        <w:spacing w:after="0"/>
        <w:rPr>
          <w:rFonts w:ascii="Times New Roman" w:hAnsi="Times New Roman" w:cs="Times New Roman"/>
          <w:color w:val="FF0000"/>
          <w:sz w:val="44"/>
          <w:szCs w:val="44"/>
          <w:lang w:val="kk-KZ"/>
        </w:rPr>
      </w:pPr>
      <w:r w:rsidRPr="00E227B3">
        <w:rPr>
          <w:rFonts w:ascii="Times New Roman" w:hAnsi="Times New Roman" w:cs="Times New Roman"/>
          <w:color w:val="FF0000"/>
          <w:sz w:val="44"/>
          <w:szCs w:val="44"/>
          <w:lang w:val="kk-KZ"/>
        </w:rPr>
        <w:t xml:space="preserve">1.1 </w:t>
      </w:r>
      <w:r w:rsidR="00E227B3" w:rsidRPr="00E227B3">
        <w:rPr>
          <w:color w:val="FF0000"/>
          <w:sz w:val="44"/>
          <w:szCs w:val="44"/>
          <w:lang w:val="kk-KZ"/>
        </w:rPr>
        <w:t>Кәсіпорындардың банкротқа ұшырауы мүмкіндігін болжау әдістері</w:t>
      </w:r>
    </w:p>
    <w:p w14:paraId="6B0DAB19" w14:textId="0E1C59E2" w:rsidR="00F32B39" w:rsidRPr="00E227B3" w:rsidRDefault="00F32B39" w:rsidP="00F32B39">
      <w:pPr>
        <w:spacing w:after="0"/>
        <w:rPr>
          <w:rFonts w:ascii="Times New Roman" w:hAnsi="Times New Roman" w:cs="Times New Roman"/>
          <w:color w:val="FF0000"/>
          <w:sz w:val="44"/>
          <w:szCs w:val="44"/>
          <w:lang w:val="kk-KZ"/>
        </w:rPr>
      </w:pPr>
      <w:r w:rsidRPr="00E227B3">
        <w:rPr>
          <w:rFonts w:ascii="Times New Roman" w:hAnsi="Times New Roman" w:cs="Times New Roman"/>
          <w:color w:val="FF0000"/>
          <w:sz w:val="44"/>
          <w:szCs w:val="44"/>
          <w:lang w:val="kk-KZ"/>
        </w:rPr>
        <w:t xml:space="preserve">1.2 </w:t>
      </w:r>
      <w:r w:rsidR="00E227B3" w:rsidRPr="00E227B3">
        <w:rPr>
          <w:rFonts w:ascii="Times New Roman" w:hAnsi="Times New Roman" w:cs="Times New Roman"/>
          <w:color w:val="FF0000"/>
          <w:sz w:val="44"/>
          <w:szCs w:val="44"/>
          <w:lang w:val="kk-KZ"/>
        </w:rPr>
        <w:t>Б</w:t>
      </w:r>
      <w:r w:rsidR="00E227B3" w:rsidRPr="00E227B3">
        <w:rPr>
          <w:color w:val="FF0000"/>
          <w:sz w:val="44"/>
          <w:szCs w:val="44"/>
          <w:lang w:val="kk-KZ"/>
        </w:rPr>
        <w:t>анкротқа ұшырауы мүмкіндігін болжау әдістерінің ерекшеліктері</w:t>
      </w:r>
    </w:p>
    <w:p w14:paraId="0669E196" w14:textId="77777777" w:rsidR="00F32B39" w:rsidRPr="00E227B3" w:rsidRDefault="00F32B39" w:rsidP="00F32B39">
      <w:pPr>
        <w:spacing w:after="0"/>
        <w:rPr>
          <w:rFonts w:ascii="Times New Roman" w:hAnsi="Times New Roman" w:cs="Times New Roman"/>
          <w:b/>
          <w:bCs/>
          <w:color w:val="FF0000"/>
          <w:sz w:val="28"/>
          <w:szCs w:val="28"/>
          <w:lang w:val="kk-KZ"/>
        </w:rPr>
      </w:pPr>
      <w:r w:rsidRPr="00E227B3">
        <w:rPr>
          <w:rFonts w:ascii="Times New Roman" w:hAnsi="Times New Roman" w:cs="Times New Roman"/>
          <w:b/>
          <w:bCs/>
          <w:color w:val="FF0000"/>
          <w:sz w:val="28"/>
          <w:szCs w:val="28"/>
          <w:lang w:val="kk-KZ"/>
        </w:rPr>
        <w:t xml:space="preserve">    </w:t>
      </w:r>
    </w:p>
    <w:p w14:paraId="26FFE294" w14:textId="4CC9F61A" w:rsidR="00F32B39" w:rsidRPr="00E227B3" w:rsidRDefault="00F32B39" w:rsidP="00F32B39">
      <w:pPr>
        <w:spacing w:after="0"/>
        <w:rPr>
          <w:rFonts w:ascii="Times New Roman" w:hAnsi="Times New Roman" w:cs="Times New Roman"/>
          <w:color w:val="0070C0"/>
          <w:sz w:val="28"/>
          <w:szCs w:val="28"/>
          <w:lang w:val="kk-KZ"/>
        </w:rPr>
      </w:pPr>
      <w:r w:rsidRPr="00E227B3">
        <w:rPr>
          <w:rFonts w:ascii="Times New Roman" w:hAnsi="Times New Roman" w:cs="Times New Roman"/>
          <w:color w:val="FF0000"/>
          <w:sz w:val="28"/>
          <w:szCs w:val="28"/>
          <w:highlight w:val="yellow"/>
          <w:lang w:val="kk-KZ"/>
        </w:rPr>
        <w:t>Мақсаты -</w:t>
      </w:r>
      <w:r w:rsidRPr="00E227B3">
        <w:rPr>
          <w:rFonts w:ascii="Times New Roman" w:hAnsi="Times New Roman" w:cs="Times New Roman"/>
          <w:color w:val="FF0000"/>
          <w:sz w:val="28"/>
          <w:szCs w:val="28"/>
          <w:lang w:val="kk-KZ"/>
        </w:rPr>
        <w:t xml:space="preserve">   </w:t>
      </w:r>
      <w:r w:rsidR="00E227B3" w:rsidRPr="00E227B3">
        <w:rPr>
          <w:rFonts w:ascii="Times New Roman" w:hAnsi="Times New Roman" w:cs="Times New Roman"/>
          <w:color w:val="0070C0"/>
          <w:sz w:val="28"/>
          <w:szCs w:val="28"/>
          <w:lang w:val="kk-KZ"/>
        </w:rPr>
        <w:t xml:space="preserve">студуденттерге </w:t>
      </w:r>
      <w:r w:rsidRPr="00E227B3">
        <w:rPr>
          <w:rFonts w:ascii="Times New Roman" w:hAnsi="Times New Roman" w:cs="Times New Roman"/>
          <w:color w:val="0070C0"/>
          <w:sz w:val="28"/>
          <w:szCs w:val="28"/>
          <w:lang w:val="kk-KZ"/>
        </w:rPr>
        <w:t xml:space="preserve">  </w:t>
      </w:r>
      <w:r w:rsidR="00E227B3" w:rsidRPr="00E227B3">
        <w:rPr>
          <w:color w:val="0070C0"/>
          <w:sz w:val="28"/>
          <w:szCs w:val="28"/>
          <w:lang w:val="kk-KZ"/>
        </w:rPr>
        <w:t>кәсіпорындардың банкротқа ұшырауы мүмкіндігін болжау әдістерін жан-жақты кешенді</w:t>
      </w:r>
      <w:r w:rsidRPr="00E227B3">
        <w:rPr>
          <w:rFonts w:ascii="Times New Roman" w:hAnsi="Times New Roman" w:cs="Times New Roman"/>
          <w:color w:val="0070C0"/>
          <w:sz w:val="28"/>
          <w:szCs w:val="28"/>
          <w:lang w:val="kk-KZ"/>
        </w:rPr>
        <w:t xml:space="preserve">                            </w:t>
      </w:r>
      <w:r w:rsidRPr="00E227B3">
        <w:rPr>
          <w:rFonts w:ascii="Times New Roman" w:hAnsi="Times New Roman" w:cs="Times New Roman"/>
          <w:color w:val="0070C0"/>
          <w:sz w:val="28"/>
          <w:szCs w:val="28"/>
          <w:highlight w:val="cyan"/>
          <w:lang w:val="kk-KZ"/>
        </w:rPr>
        <w:t>түсіндіру</w:t>
      </w:r>
    </w:p>
    <w:p w14:paraId="76FD5168" w14:textId="54385ABC" w:rsidR="00EF6081" w:rsidRPr="00E227B3" w:rsidRDefault="00EF6081">
      <w:pPr>
        <w:rPr>
          <w:color w:val="FF0000"/>
          <w:lang w:val="kk-KZ"/>
        </w:rPr>
      </w:pPr>
    </w:p>
    <w:p w14:paraId="3D835831" w14:textId="77777777" w:rsidR="00B63654" w:rsidRPr="00B95FE0" w:rsidRDefault="00B63654" w:rsidP="00B63654">
      <w:pPr>
        <w:tabs>
          <w:tab w:val="left" w:pos="3402"/>
        </w:tabs>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Банкроттық - бұл жеке кәсіпкерлер мен заңды тұлғалар өз қызметі барысында кездесетін кең таралған мәселе. Біздің елімізде жыл сайын көптеген ұйымдар банкротқа ұшырайды; сондықтан қолайсыз тенденцияларды дер кезінде анықтау аса маңызды.</w:t>
      </w:r>
    </w:p>
    <w:p w14:paraId="72DB30C1" w14:textId="77777777" w:rsidR="00B63654" w:rsidRPr="00B95FE0" w:rsidRDefault="00B63654" w:rsidP="00B63654">
      <w:pPr>
        <w:tabs>
          <w:tab w:val="left" w:pos="3402"/>
        </w:tabs>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 xml:space="preserve">        Банкроттық – қолма-қол ақшаның жоқтығынан ұйымның өзінің қарыздық міндеттемелерін төлеуге және ағымдағы негізгі қызметін қаржыландыруға қабілетсіздігі. Банкроттықтың негізгі белгісі – қарызды төлеудің 3 айдан астам кешігуі.</w:t>
      </w:r>
    </w:p>
    <w:p w14:paraId="5DEA5DF6" w14:textId="77777777" w:rsidR="00B63654" w:rsidRPr="00B95FE0" w:rsidRDefault="00B63654" w:rsidP="00B63654">
      <w:pPr>
        <w:tabs>
          <w:tab w:val="left" w:pos="3402"/>
        </w:tabs>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Банкроттықтың ықтималдығы зерттелетін ұйымның ағымдағы қаржылық жағдайының болжамды сипаттамаларының бірі болып табылады. Кәсіпорын басшылығы банкроттық ықтималдылығын мезгіл-мезгіл талдап, қажетті шараларды дер кезінде қабылдаса, ықтималдықты үнемі төмен деңгейде ұстай алады.</w:t>
      </w:r>
    </w:p>
    <w:p w14:paraId="03239E55" w14:textId="77777777" w:rsidR="00B63654" w:rsidRPr="00B95FE0" w:rsidRDefault="00B63654" w:rsidP="00B63654">
      <w:pPr>
        <w:tabs>
          <w:tab w:val="left" w:pos="3402"/>
        </w:tabs>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 xml:space="preserve">        Қазіргі уақытта кәсіпорынның банкрот болу ықтималдығын бағалаудың әртүрлі әдістері бар. Нарықтық экономикада ең дәл болып банкроттықты болжаудың көп факторлы модельдері табылады, олар әдетте бес-жеті қаржылық көрсеткіштерден тұрады.</w:t>
      </w:r>
    </w:p>
    <w:p w14:paraId="087DCEF1" w14:textId="77777777" w:rsidR="00B63654" w:rsidRPr="00B95FE0" w:rsidRDefault="00B63654" w:rsidP="00B63654">
      <w:pPr>
        <w:tabs>
          <w:tab w:val="left" w:pos="3402"/>
        </w:tabs>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 xml:space="preserve">        Іс жүзінде банкроттық ықтималдығын бағалау үшін Альтманның «Z-есеп» деп аталатын көрсеткіш жиі қолданылады. </w:t>
      </w:r>
      <w:r w:rsidRPr="00B95FE0">
        <w:rPr>
          <w:rFonts w:ascii="Times New Roman" w:hAnsi="Times New Roman" w:cs="Times New Roman"/>
          <w:sz w:val="32"/>
          <w:szCs w:val="32"/>
          <w:lang w:val="kk-KZ"/>
        </w:rPr>
        <w:lastRenderedPageBreak/>
        <w:t>Қорытынды банкроттық ықтималдылық коэффициенті Z кәсіпорынның экономикалық әлеуетін және оның өткен кезеңдегі жұмыс нәтижелерін сипаттайтын бес көрсеткіштің функциясы болып табылады: активтер мен пассивтердің құрылымы, табыстылық және айналым. Көрсеткіштердің әрқайсысына статистикалық әдістермен белгіленген белгілі бір салмақ берілді.</w:t>
      </w:r>
    </w:p>
    <w:p w14:paraId="5D789F89" w14:textId="77777777" w:rsidR="00B63654" w:rsidRPr="00B95FE0" w:rsidRDefault="00B63654" w:rsidP="00B63654">
      <w:pPr>
        <w:ind w:firstLine="567"/>
        <w:jc w:val="both"/>
        <w:rPr>
          <w:rFonts w:ascii="Times New Roman" w:hAnsi="Times New Roman" w:cs="Times New Roman"/>
          <w:sz w:val="32"/>
          <w:szCs w:val="32"/>
          <w:lang w:val="kk-KZ"/>
        </w:rPr>
      </w:pPr>
    </w:p>
    <w:p w14:paraId="778D2D23"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Z = 1,2 * K1 + 1,4 * K2 + 3,3 * K3 + 0,6 * K4 + K5, где</w:t>
      </w:r>
    </w:p>
    <w:p w14:paraId="7E099B96" w14:textId="77777777" w:rsidR="00B63654" w:rsidRPr="00B95FE0" w:rsidRDefault="00B63654" w:rsidP="00B63654">
      <w:pPr>
        <w:ind w:firstLine="567"/>
        <w:jc w:val="both"/>
        <w:rPr>
          <w:rFonts w:ascii="Times New Roman" w:hAnsi="Times New Roman" w:cs="Times New Roman"/>
          <w:sz w:val="32"/>
          <w:szCs w:val="32"/>
          <w:lang w:val="kk-KZ"/>
        </w:rPr>
      </w:pPr>
    </w:p>
    <w:p w14:paraId="51A2BDB5"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K1 —. ұйымның жалпы активтеріндегі айналым құралдарының үлесі. Көрсеткіш ұйымның өтімділік дәрежесін сипаттайды.</w:t>
      </w:r>
    </w:p>
    <w:p w14:paraId="6B54981A"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K2 — рентабельность активов по нераспределенной прибыли. Показатель характеризует уровень финансового рычага организации. бөлінбеген пайда негізіндегі активтердің рентабельділігі. Көрсеткіш ұйымның қаржылық тетігі деңгейін сипаттайды.</w:t>
      </w:r>
    </w:p>
    <w:p w14:paraId="275C0500"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K3 — салықтарды төлегенге дейінгі пайдаға негізделген активтерді қайтару. Көрсеткіш ұйымның операциялық қызметінің тиімділігін сипаттайды.</w:t>
      </w:r>
    </w:p>
    <w:p w14:paraId="103885AE"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K4 — меншікті және қарыз капиталының қатынасы.</w:t>
      </w:r>
    </w:p>
    <w:p w14:paraId="636D0BEC"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K5 — активтер айналымы. Көрсеткіш кәсіпорын активтерінің табыстылығын сипаттайды.</w:t>
      </w:r>
    </w:p>
    <w:p w14:paraId="696F40E9"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«Z-есеп» мәніне байланысты белгілі бір шкала бойынша банкроттық ықтималдығы екі жыл ішінде бағаланады. Ұйымды талдау кезінде банкроттық ықтималдығының ауқымына емес, осы көрсеткіштің динамикасына назар аудару керек.</w:t>
      </w:r>
    </w:p>
    <w:p w14:paraId="6C1A253A"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Altman Z-балы банкроттық тәуекелін ғана емес, сонымен қатар несиелік қабілеттілік деңгейін де анықтауға мүмкіндік береді, сондықтан оны банктер қарыз алушының несиелік қабілетін, қаржылық тұрақтылығын және банкроттықтың ықтималдығын бағалау үшін пайдаланады.</w:t>
      </w:r>
    </w:p>
    <w:p w14:paraId="42130234" w14:textId="77777777" w:rsidR="00B63654" w:rsidRPr="00B95FE0" w:rsidRDefault="00B63654" w:rsidP="00B63654">
      <w:pPr>
        <w:spacing w:after="0" w:line="240" w:lineRule="auto"/>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lastRenderedPageBreak/>
        <w:t>21 ғасыр жағдайында ұйымдар санының артуы және соның нәтижесінде</w:t>
      </w:r>
    </w:p>
    <w:p w14:paraId="6E486087" w14:textId="77777777" w:rsidR="00B63654" w:rsidRPr="00B95FE0" w:rsidRDefault="00B63654" w:rsidP="00B63654">
      <w:pPr>
        <w:spacing w:after="0" w:line="240" w:lineRule="auto"/>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барлық дерлік сегменттердегі бәсекелестік. Бұл компаниялардың нарықтық конъюнктураның өзгеруіне сезімтал болуына әкеледі, ал тауарлар мен қызметтер нарығында бәсекеге қабілетті болып қалу үшін компаниялар тиімділікті арттыру қажет. Кез келген ұйым қаржылық жағдайдың тұрақсыздығы, төлем қабілетсіздігі, банкроттық проблемасына тап болуы мүмкін. Бұл мақаланың мақсаты – шағын және орта бизнестің банкроттығын болжау тәсілдерін зерттеу.</w:t>
      </w:r>
    </w:p>
    <w:p w14:paraId="69ABFA80"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Нәтижелер қаржылық есеп беру сапасының төмендігі және модельдерді құру үшін пайдаланылатын деректердің болмауы проблемасы болып табылатын компаниялардың төлем қабілетсіздігін болжау әдістерінің тиімсіздігін көрсетті.</w:t>
      </w:r>
    </w:p>
    <w:p w14:paraId="05B5EA3A" w14:textId="77777777" w:rsidR="00B63654" w:rsidRPr="00B95FE0" w:rsidRDefault="00B63654" w:rsidP="00B63654">
      <w:pPr>
        <w:spacing w:after="0" w:line="240" w:lineRule="auto"/>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Қазақстандағы экономикалық қатынастар өте жоғары дәрежеде сипатталады</w:t>
      </w:r>
    </w:p>
    <w:p w14:paraId="2EE771DD" w14:textId="77777777" w:rsidR="00B63654" w:rsidRPr="00B95FE0" w:rsidRDefault="00B63654" w:rsidP="00B63654">
      <w:pPr>
        <w:spacing w:after="0" w:line="240" w:lineRule="auto"/>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сыртқы және ішкі экономикалық факторлардың әсерінен кәсіпорындардың төлем қабілетсіздігінің тәуекелін айтарлықтай арттыратын құбылмалылық. Динамикалық және бәсекелес нарық жағдайында әрбір бизнес жоғары немесе төмендеген тәуекелге тап болады.</w:t>
      </w:r>
    </w:p>
    <w:p w14:paraId="0007E702"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Ешбір компания оның қызметі мәңгілікке жалғасатынына, оның қызметтері әрқашан сұранысқа ие болатынына және сұраныстың ауытқуына байланысты қызмет ауқымын өзгертуге, қызметкерлерді жұмыстан шығаруға, қосымша шығындарға және т.б. қажет болмайтынына кепілдік бермейді. Жиі , бизнес басшылары жоғары пайда алу үшін тәуекелді әрекеттерге барады.</w:t>
      </w:r>
    </w:p>
    <w:p w14:paraId="4A35E249"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Өздеріңіз білетіндей, кәсіпорынның қаржылық жағдайы – бұл кәсіпорынның қаржылық ресурстарының болуын, орналасуын, пайдаланылуын көрсететін және бірге экономиканың тұрақтылығын, жағдайын анықтайтын жалпыланған абсолютті және салыстырмалы статистикалық көрсеткіштер жүйесімен сипатталатын күрделі категория. компанияның және оның іскерлік серіктес ретіндегі өкілеттігі.</w:t>
      </w:r>
    </w:p>
    <w:p w14:paraId="1036EAF5"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 xml:space="preserve">Қаржылық жағдайдың критерийлері негізінде тәуекел деңгейін болжау басқарушылық шешімдерді қабылдаудың ең қолайлы </w:t>
      </w:r>
      <w:r w:rsidRPr="00B95FE0">
        <w:rPr>
          <w:rFonts w:ascii="Times New Roman" w:hAnsi="Times New Roman" w:cs="Times New Roman"/>
          <w:sz w:val="32"/>
          <w:szCs w:val="32"/>
          <w:lang w:val="kk-KZ"/>
        </w:rPr>
        <w:lastRenderedPageBreak/>
        <w:t>құралы болып табылады және көптеген қолданбаларға ие. Оны жоспарлау көкжиегін жеңілдету және кеңейту үшін көптеген баламалары бар жағдайды модельдеу кезінде қуатты аналитикалық ресурс ретінде пайдалануға болады, ең бастысы, кәсіпорын дағдарысының алдын алуға болады.</w:t>
      </w:r>
    </w:p>
    <w:p w14:paraId="25E0715A"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Тәуекелді бағаламаудың ең ауыр нәтижесі – банкроттық, ол тек компания үшін ғана емес, сонымен бірге оның қызметкерлері, басқа компаниялар, мемлекет және қоғам үшін де жағымсыз салдарға әкеледі.</w:t>
      </w:r>
    </w:p>
    <w:p w14:paraId="2E6953F3"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Соңғы онжылдықта әртүрлі меншік нысанындағы көптеген кәсіпорындар өмір сүрудің алдында тұр. Бұған ең алдымен Қазақстандағы экономиканы реформалау және әлемдік қауымдастықта дағдарыстың басталуы әсер етті.</w:t>
      </w:r>
    </w:p>
    <w:p w14:paraId="19C66B58"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Кәсіпорындардың банкроттығы экономистердің ең көп зерттейтін мәселелерінің біріне айналды. Соңғы бірнеше жылда халық табысының төмендеуіне байланысты банкроттықтың басқарушылық, мәдени, этикалық, психологиялық және тіпті философиялық аспектілеріне көбірек көңіл бөлінуде. Осындай тұрақсыз және болжауға болмайтын ортада кәсіпорынның болашақ жағдайын болжау маңызды екені сөзсіз.</w:t>
      </w:r>
    </w:p>
    <w:p w14:paraId="6C10CF2E" w14:textId="77777777" w:rsidR="00B63654" w:rsidRPr="00B95FE0" w:rsidRDefault="00B63654" w:rsidP="00B63654">
      <w:pPr>
        <w:spacing w:after="0" w:line="240" w:lineRule="auto"/>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Компанияның төлем қабілетсіздігін болжаудың бір жолы - пайдалану</w:t>
      </w:r>
    </w:p>
    <w:p w14:paraId="5BE90B19" w14:textId="77777777" w:rsidR="00B63654" w:rsidRPr="00B95FE0" w:rsidRDefault="00B63654" w:rsidP="00B63654">
      <w:pPr>
        <w:spacing w:after="0" w:line="240" w:lineRule="auto"/>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банкроттықты болжау модельдері деп аталады. Болжау үлгілерін көптеген мүдделі тараптар компанияның төлем қабілетсіздігін болжау немесе алдын алу үшін пайдаланады.</w:t>
      </w:r>
    </w:p>
    <w:p w14:paraId="165BB3CC" w14:textId="77777777" w:rsidR="00B63654" w:rsidRPr="00B95FE0" w:rsidRDefault="00B63654" w:rsidP="00B63654">
      <w:pPr>
        <w:spacing w:after="0" w:line="240" w:lineRule="auto"/>
        <w:ind w:firstLine="567"/>
        <w:jc w:val="both"/>
        <w:rPr>
          <w:rFonts w:ascii="Times New Roman" w:hAnsi="Times New Roman" w:cs="Times New Roman"/>
          <w:sz w:val="32"/>
          <w:szCs w:val="32"/>
          <w:lang w:val="kk-KZ"/>
        </w:rPr>
      </w:pPr>
    </w:p>
    <w:p w14:paraId="570D5A4C"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Болжаудың ұзақ кезеңі ішінде жоғары дәлдік бұл модельдердің қалаулы ерекшелігі болып табылады. Банкроттықты болжауды ғылыми модельдеудің бастамасы бір өлшемді тәсілмен салынды, содан кейін көп нұсқалы тәсіл зерттелді, қаржылық емес айнымалылар қолданылды және кейінгі кезеңдерде болжау дәлдігін арттыру үшін әртүрлі бағалау әдістері қолданылды.</w:t>
      </w:r>
    </w:p>
    <w:p w14:paraId="364DF080"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 xml:space="preserve">Дәстүрлі үлгілерде қаржылық айнымалыларды болжау мүмкіндігінің сәтсіздігі бір жылдық кезең үшін жоғары, бірақ одан кейін тез төмендейді. Дегенмен, ұзақ мерзімге тиімді болжау үлгісін </w:t>
      </w:r>
      <w:r w:rsidRPr="00B95FE0">
        <w:rPr>
          <w:rFonts w:ascii="Times New Roman" w:hAnsi="Times New Roman" w:cs="Times New Roman"/>
          <w:sz w:val="32"/>
          <w:szCs w:val="32"/>
          <w:lang w:val="kk-KZ"/>
        </w:rPr>
        <w:lastRenderedPageBreak/>
        <w:t>жасау қаржылық коэффициенттердің тұрақсыздығына және бизнес циклімен бірге ауытқуларға байланысты өте қиын. Атап айтқанда, шағын және орта кәсіпорындардың қаржылық көрсеткіштері көбінесе уақыт бойынша тұрақсыз және сенімді ақпарат бермейді.</w:t>
      </w:r>
    </w:p>
    <w:p w14:paraId="67101EA3"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Алайда қаржылық емес айнымалыларды пайдалану олардың үйлесімсіздігі мен шектеулі қолжетімділігіне байланысты халықаралық негізде мүмкін болуы екіталай. Сондықтан қаржылық емес коэффициенттерді зерттеу әдетте жекелеген елдерге (мысалы, АҚШ, Финляндия, Италия, Испания) назар аударады.</w:t>
      </w:r>
    </w:p>
    <w:p w14:paraId="70743FA2"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Қазақстанда құрылып жатқан кәсіпорындардың болжамды істен шығу үлгілерінің саны өсіп келеді, бірақ қазіргі уақытта олардың тиімділігін бағалайтын ауқымды зерттеулер жоқ. Шетел әдебиетінде де болжау әдістерінің сапасын арттыру жолдары туралы белсенді пікірталас жүріп жатыр.</w:t>
      </w:r>
    </w:p>
    <w:p w14:paraId="36BA23B0"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Кәсіпорындардың төлем қабілетсіздігін болжау үшін банкроттықты болжау модельдері кеңінен қолданылады, алайда бірқатар шектеулерге байланысты олардың дәлдігі төмен болуы мүмкін.</w:t>
      </w:r>
    </w:p>
    <w:p w14:paraId="1DF7D7E7" w14:textId="77777777" w:rsidR="00B63654" w:rsidRPr="00B95FE0" w:rsidRDefault="00B63654" w:rsidP="00B63654">
      <w:pPr>
        <w:spacing w:after="0" w:line="240" w:lineRule="auto"/>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Дұрыс сапалық және сандық айнымалыларды қалай таңдау керек - бұл маңызды мәселе</w:t>
      </w:r>
    </w:p>
    <w:p w14:paraId="48227EE7" w14:textId="77777777" w:rsidR="00B63654" w:rsidRPr="00B95FE0" w:rsidRDefault="00B63654" w:rsidP="00B63654">
      <w:pPr>
        <w:spacing w:after="0" w:line="240" w:lineRule="auto"/>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төлем қабілетсіздігін болжауды модельдеу. Экономистердің зерттеулері жекелеген компаниялар үшін болжау моделін құру үшін қай қаржылық коэффициенттердің ең жақсы екеніне қатысты айнымалыларды таңдаудың теориялық негізі жоқ екенін көрсетеді.</w:t>
      </w:r>
    </w:p>
    <w:p w14:paraId="6E6B306B" w14:textId="77777777" w:rsidR="00B63654" w:rsidRPr="00B95FE0" w:rsidRDefault="00B63654" w:rsidP="00B63654">
      <w:pPr>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Дүниежүзілік тәжірибе көрсеткендей, банкроттық кез келген қазіргі нарық үшін сөзсіз көрініс болып табылады, онда дәрменсіздік капиталды қайта бөлудің нарықтық құралы ретінде пайдаланылады, сонымен қатар қоғамның экономикалық дамуының объективті процестерін көрсетеді. Бұл кәсіпорын мен оның қызметкерлері үшін ғана емес, басқалар үшін де көптеген жағымсыз салдарға әкеледі.</w:t>
      </w:r>
    </w:p>
    <w:p w14:paraId="212D642C" w14:textId="77777777" w:rsidR="00B63654" w:rsidRPr="00B95FE0" w:rsidRDefault="00B63654" w:rsidP="00B63654">
      <w:pPr>
        <w:spacing w:after="0" w:line="240" w:lineRule="auto"/>
        <w:ind w:firstLine="567"/>
        <w:jc w:val="both"/>
        <w:rPr>
          <w:rFonts w:ascii="Times New Roman" w:hAnsi="Times New Roman" w:cs="Times New Roman"/>
          <w:sz w:val="32"/>
          <w:szCs w:val="32"/>
          <w:lang w:val="kk-KZ"/>
        </w:rPr>
      </w:pPr>
      <w:r w:rsidRPr="00B95FE0">
        <w:rPr>
          <w:rFonts w:ascii="Times New Roman" w:hAnsi="Times New Roman" w:cs="Times New Roman"/>
          <w:sz w:val="32"/>
          <w:szCs w:val="32"/>
          <w:lang w:val="kk-KZ"/>
        </w:rPr>
        <w:t xml:space="preserve">Өндірістік қуаттың жоғалуы, ұлттық экономиканың жалпы бәсекеге қабілеттілігінің әлсіреуі, мемлекеттік бюджетке салықтың төленбеуі, жұмыссыздықтың өсуі, жалпы ұлттық өмір сүру деңгейінің төмендеуі, болашаққа деген сенімсіздік, т.б. негізгі </w:t>
      </w:r>
      <w:r w:rsidRPr="00B95FE0">
        <w:rPr>
          <w:rFonts w:ascii="Times New Roman" w:hAnsi="Times New Roman" w:cs="Times New Roman"/>
          <w:sz w:val="32"/>
          <w:szCs w:val="32"/>
          <w:lang w:val="kk-KZ"/>
        </w:rPr>
        <w:lastRenderedPageBreak/>
        <w:t>экономикалық және әлеуметтік мәселелер ретінде қарастыруға болады.</w:t>
      </w:r>
    </w:p>
    <w:p w14:paraId="10FDBBA9" w14:textId="28F73C09" w:rsidR="0075553B" w:rsidRPr="00E227B3" w:rsidRDefault="00B63654" w:rsidP="00B63654">
      <w:pPr>
        <w:spacing w:after="0" w:line="240" w:lineRule="auto"/>
        <w:ind w:firstLine="567"/>
        <w:jc w:val="both"/>
        <w:rPr>
          <w:lang w:val="kk-KZ"/>
        </w:rPr>
      </w:pPr>
      <w:r w:rsidRPr="00B95FE0">
        <w:rPr>
          <w:rFonts w:ascii="Times New Roman" w:hAnsi="Times New Roman" w:cs="Times New Roman"/>
          <w:sz w:val="32"/>
          <w:szCs w:val="32"/>
          <w:lang w:val="kk-KZ"/>
        </w:rPr>
        <w:t>Осылайша, әлемдік және отандық тәжірибе ұйымдардың қажеттілігін дәлелдеп отыр</w:t>
      </w:r>
      <w:r>
        <w:rPr>
          <w:rFonts w:ascii="Times New Roman" w:hAnsi="Times New Roman" w:cs="Times New Roman"/>
          <w:sz w:val="32"/>
          <w:szCs w:val="32"/>
          <w:lang w:val="kk-KZ"/>
        </w:rPr>
        <w:t xml:space="preserve"> </w:t>
      </w:r>
      <w:r w:rsidRPr="00B95FE0">
        <w:rPr>
          <w:rFonts w:ascii="Times New Roman" w:hAnsi="Times New Roman" w:cs="Times New Roman"/>
          <w:sz w:val="32"/>
          <w:szCs w:val="32"/>
          <w:lang w:val="kk-KZ"/>
        </w:rPr>
        <w:t>қазіргі нарықтағы дағдарысқа қарсы процедуралар</w:t>
      </w:r>
      <w:r>
        <w:rPr>
          <w:rFonts w:ascii="Times New Roman" w:hAnsi="Times New Roman" w:cs="Times New Roman"/>
          <w:sz w:val="32"/>
          <w:szCs w:val="32"/>
          <w:lang w:val="kk-KZ"/>
        </w:rPr>
        <w:t>.</w:t>
      </w:r>
    </w:p>
    <w:p w14:paraId="4E066837" w14:textId="66D8E5D0" w:rsidR="0075553B" w:rsidRPr="00E227B3" w:rsidRDefault="0075553B" w:rsidP="0075553B">
      <w:pPr>
        <w:rPr>
          <w:lang w:val="kk-KZ"/>
        </w:rPr>
      </w:pPr>
    </w:p>
    <w:p w14:paraId="29F5429E" w14:textId="41096A03" w:rsidR="0075553B" w:rsidRPr="00E227B3" w:rsidRDefault="0075553B" w:rsidP="0075553B">
      <w:pPr>
        <w:rPr>
          <w:lang w:val="kk-KZ"/>
        </w:rPr>
      </w:pPr>
    </w:p>
    <w:p w14:paraId="7EF3D4A9" w14:textId="77777777" w:rsidR="0075553B" w:rsidRPr="00B6511C" w:rsidRDefault="0075553B" w:rsidP="0075553B">
      <w:pPr>
        <w:rPr>
          <w:rFonts w:ascii="Times New Roman" w:hAnsi="Times New Roman" w:cs="Times New Roman"/>
          <w:sz w:val="24"/>
          <w:szCs w:val="24"/>
          <w:lang w:val="kk-KZ"/>
        </w:rPr>
      </w:pPr>
      <w:r w:rsidRPr="00B6511C">
        <w:rPr>
          <w:rFonts w:ascii="Times New Roman" w:hAnsi="Times New Roman" w:cs="Times New Roman"/>
          <w:sz w:val="24"/>
          <w:szCs w:val="24"/>
          <w:lang w:val="kk-KZ"/>
        </w:rPr>
        <w:t xml:space="preserve">                                                                        ӘДЕБИЕТТЕР</w:t>
      </w:r>
    </w:p>
    <w:p w14:paraId="6B324AEF" w14:textId="77777777" w:rsidR="0075553B" w:rsidRPr="00B6511C" w:rsidRDefault="0075553B" w:rsidP="0075553B">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75553B">
        <w:rPr>
          <w:rFonts w:ascii="Times New Roman" w:hAnsi="Times New Roman" w:cs="Times New Roman"/>
          <w:sz w:val="24"/>
          <w:szCs w:val="24"/>
          <w:lang w:val="kk-KZ"/>
        </w:rPr>
        <w:tab/>
      </w:r>
      <w:bookmarkStart w:id="0" w:name="_Hlk92104819"/>
      <w:r w:rsidRPr="00B6511C">
        <w:rPr>
          <w:rFonts w:ascii="Times New Roman" w:eastAsia="Calibri" w:hAnsi="Times New Roman" w:cs="Times New Roman"/>
          <w:color w:val="000000" w:themeColor="text1"/>
          <w:sz w:val="24"/>
          <w:szCs w:val="24"/>
          <w:lang w:val="kk-KZ"/>
        </w:rPr>
        <w:t xml:space="preserve">Тоқаев </w:t>
      </w:r>
      <w:r w:rsidRPr="00B6511C">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03719044" w14:textId="77777777" w:rsidR="0075553B" w:rsidRPr="00B6511C" w:rsidRDefault="0075553B" w:rsidP="0075553B">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2.</w:t>
      </w:r>
      <w:r w:rsidRPr="00B6511C">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36B8214C" w14:textId="77777777" w:rsidR="0075553B" w:rsidRPr="00B6511C" w:rsidRDefault="0075553B" w:rsidP="0075553B">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3.</w:t>
      </w:r>
      <w:r w:rsidRPr="00B6511C">
        <w:rPr>
          <w:rFonts w:ascii="Times New Roman" w:eastAsia="Calibri" w:hAnsi="Times New Roman" w:cs="Times New Roman"/>
          <w:color w:val="000000" w:themeColor="text1"/>
          <w:sz w:val="24"/>
          <w:szCs w:val="24"/>
          <w:lang w:val="kk-KZ"/>
        </w:rPr>
        <w:tab/>
      </w:r>
      <w:r w:rsidRPr="00B6511C">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50E23AF9" w14:textId="77777777" w:rsidR="0075553B" w:rsidRPr="00B6511C" w:rsidRDefault="0075553B" w:rsidP="0075553B">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4.</w:t>
      </w:r>
      <w:r w:rsidRPr="00B6511C">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1FD3E8C" w14:textId="77777777" w:rsidR="0075553B" w:rsidRPr="00B6511C" w:rsidRDefault="0075553B" w:rsidP="0075553B">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3B553D67" w14:textId="77777777" w:rsidR="0075553B" w:rsidRPr="00B6511C" w:rsidRDefault="0075553B" w:rsidP="0075553B">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T8RUGRAM,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160 c.</w:t>
      </w:r>
    </w:p>
    <w:p w14:paraId="50216944" w14:textId="77777777" w:rsidR="0075553B" w:rsidRPr="00B6511C" w:rsidRDefault="0075553B" w:rsidP="0075553B">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285 c.</w:t>
      </w:r>
    </w:p>
    <w:p w14:paraId="2CD02F2B" w14:textId="77777777" w:rsidR="0075553B" w:rsidRPr="00B6511C" w:rsidRDefault="0075553B" w:rsidP="0075553B">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280 c.</w:t>
      </w:r>
    </w:p>
    <w:p w14:paraId="49AE59D0" w14:textId="77777777" w:rsidR="0075553B" w:rsidRPr="00B6511C" w:rsidRDefault="0075553B" w:rsidP="0075553B">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327 c.</w:t>
      </w:r>
    </w:p>
    <w:p w14:paraId="40B86E8F" w14:textId="77777777" w:rsidR="0075553B" w:rsidRPr="00B6511C" w:rsidRDefault="0075553B" w:rsidP="0075553B">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sidRPr="00B6511C">
        <w:rPr>
          <w:rFonts w:ascii="Times New Roman" w:eastAsia="Times New Roman" w:hAnsi="Times New Roman" w:cs="Times New Roman"/>
          <w:color w:val="000000"/>
          <w:sz w:val="24"/>
          <w:szCs w:val="24"/>
          <w:lang w:val="kk-KZ"/>
        </w:rPr>
        <w:t xml:space="preserve"> - </w:t>
      </w:r>
      <w:r w:rsidRPr="00B6511C">
        <w:rPr>
          <w:rFonts w:ascii="Times New Roman" w:eastAsia="Times New Roman" w:hAnsi="Times New Roman" w:cs="Times New Roman"/>
          <w:color w:val="000000"/>
          <w:sz w:val="24"/>
          <w:szCs w:val="24"/>
        </w:rPr>
        <w:t xml:space="preserve">М.: Дашков </w:t>
      </w:r>
      <w:proofErr w:type="gramStart"/>
      <w:r w:rsidRPr="00B6511C">
        <w:rPr>
          <w:rFonts w:ascii="Times New Roman" w:eastAsia="Times New Roman" w:hAnsi="Times New Roman" w:cs="Times New Roman"/>
          <w:color w:val="000000"/>
          <w:sz w:val="24"/>
          <w:szCs w:val="24"/>
        </w:rPr>
        <w:t>и Ко</w:t>
      </w:r>
      <w:proofErr w:type="gramEnd"/>
      <w:r w:rsidRPr="00B6511C">
        <w:rPr>
          <w:rFonts w:ascii="Times New Roman" w:eastAsia="Times New Roman" w:hAnsi="Times New Roman" w:cs="Times New Roman"/>
          <w:color w:val="000000"/>
          <w:sz w:val="24"/>
          <w:szCs w:val="24"/>
        </w:rPr>
        <w:t xml:space="preserve">, 2019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236 c.</w:t>
      </w:r>
    </w:p>
    <w:p w14:paraId="7E76304C" w14:textId="77777777" w:rsidR="0075553B" w:rsidRPr="00B6511C" w:rsidRDefault="0075553B" w:rsidP="0075553B">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М.: Дашков и К,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236 c.</w:t>
      </w:r>
    </w:p>
    <w:p w14:paraId="1727D756" w14:textId="77777777" w:rsidR="0075553B" w:rsidRPr="00B6511C" w:rsidRDefault="0075553B" w:rsidP="0075553B">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Гореликов К.А. Антикризисное управление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Дашков и К,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214 c.</w:t>
      </w:r>
    </w:p>
    <w:p w14:paraId="6E7CBE4E" w14:textId="77777777" w:rsidR="0075553B" w:rsidRPr="00B6511C" w:rsidRDefault="0075553B" w:rsidP="0075553B">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КноРус</w:t>
      </w:r>
      <w:proofErr w:type="spellEnd"/>
      <w:r w:rsidRPr="00B6511C">
        <w:rPr>
          <w:rFonts w:ascii="Times New Roman" w:eastAsia="Times New Roman" w:hAnsi="Times New Roman" w:cs="Times New Roman"/>
          <w:color w:val="000000"/>
          <w:sz w:val="24"/>
          <w:szCs w:val="24"/>
        </w:rPr>
        <w:t>,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180 c.</w:t>
      </w:r>
    </w:p>
    <w:p w14:paraId="429D9BCA" w14:textId="77777777" w:rsidR="0075553B" w:rsidRPr="00B6511C" w:rsidRDefault="0075553B" w:rsidP="0075553B">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sidRPr="00B6511C">
        <w:rPr>
          <w:rFonts w:ascii="Times New Roman" w:hAnsi="Times New Roman" w:cs="Times New Roman"/>
          <w:color w:val="000000" w:themeColor="text1"/>
          <w:sz w:val="24"/>
          <w:szCs w:val="24"/>
          <w:lang w:val="kk-KZ"/>
        </w:rPr>
        <w:t>Коротков Э.М.  Антикризисное управление- М.: Юрайт, 2023 - 406 с.</w:t>
      </w:r>
    </w:p>
    <w:p w14:paraId="336E6C20" w14:textId="77777777" w:rsidR="0075553B" w:rsidRPr="00B6511C" w:rsidRDefault="0075553B" w:rsidP="0075553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Корягин Н. Д.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xml:space="preserve">,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368 c.</w:t>
      </w:r>
    </w:p>
    <w:p w14:paraId="2E36D600" w14:textId="77777777" w:rsidR="0075553B" w:rsidRPr="00B6511C" w:rsidRDefault="0075553B" w:rsidP="0075553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М.: Проспект,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328 c.</w:t>
      </w:r>
    </w:p>
    <w:p w14:paraId="08BC97B1" w14:textId="77777777" w:rsidR="0075553B" w:rsidRPr="00B6511C" w:rsidRDefault="0075553B" w:rsidP="0075553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441 c.</w:t>
      </w:r>
    </w:p>
    <w:p w14:paraId="46142509" w14:textId="77777777" w:rsidR="0075553B" w:rsidRPr="00B6511C" w:rsidRDefault="0075553B" w:rsidP="0075553B">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sidRPr="00B6511C">
        <w:rPr>
          <w:rFonts w:ascii="Times New Roman" w:hAnsi="Times New Roman" w:cs="Times New Roman"/>
          <w:color w:val="212529"/>
          <w:sz w:val="24"/>
          <w:szCs w:val="24"/>
          <w:shd w:val="clear" w:color="auto" w:fill="F8F9FA"/>
          <w:lang w:val="kk-KZ"/>
        </w:rPr>
        <w:t xml:space="preserve">Ларионов И.К. , </w:t>
      </w:r>
      <w:r w:rsidRPr="00B6511C">
        <w:rPr>
          <w:rFonts w:ascii="Times New Roman" w:hAnsi="Times New Roman" w:cs="Times New Roman"/>
          <w:color w:val="000000" w:themeColor="text1"/>
          <w:sz w:val="24"/>
          <w:szCs w:val="24"/>
          <w:lang w:val="kk-KZ"/>
        </w:rPr>
        <w:t>Брагин Н.И., Герасин А.Н. и др.</w:t>
      </w:r>
      <w:r w:rsidRPr="00B6511C">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0DDDABE8" w14:textId="77777777" w:rsidR="0075553B" w:rsidRPr="00B6511C" w:rsidRDefault="0075553B" w:rsidP="0075553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B6511C">
        <w:rPr>
          <w:rFonts w:ascii="Times New Roman" w:eastAsia="Times New Roman" w:hAnsi="Times New Roman" w:cs="Times New Roman"/>
          <w:color w:val="000000"/>
          <w:sz w:val="24"/>
          <w:szCs w:val="24"/>
          <w:lang w:eastAsia="ru-RU"/>
        </w:rPr>
        <w:t>Моженков</w:t>
      </w:r>
      <w:proofErr w:type="spellEnd"/>
      <w:r w:rsidRPr="00B6511C">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sidRPr="00B6511C">
        <w:rPr>
          <w:rFonts w:ascii="Times New Roman" w:eastAsia="Times New Roman" w:hAnsi="Times New Roman" w:cs="Times New Roman"/>
          <w:color w:val="000000"/>
          <w:sz w:val="24"/>
          <w:szCs w:val="24"/>
          <w:lang w:val="kk-KZ" w:eastAsia="ru-RU"/>
        </w:rPr>
        <w:t xml:space="preserve"> - </w:t>
      </w:r>
      <w:r w:rsidRPr="00B6511C">
        <w:rPr>
          <w:rFonts w:ascii="Times New Roman" w:eastAsia="Times New Roman" w:hAnsi="Times New Roman" w:cs="Times New Roman"/>
          <w:color w:val="000000"/>
          <w:sz w:val="24"/>
          <w:szCs w:val="24"/>
          <w:lang w:eastAsia="ru-RU"/>
        </w:rPr>
        <w:t>М.: Манн, Иванов и Фербер,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304 c.</w:t>
      </w:r>
    </w:p>
    <w:p w14:paraId="0C188A66" w14:textId="77777777" w:rsidR="0075553B" w:rsidRPr="00B6511C" w:rsidRDefault="0075553B" w:rsidP="0075553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Литрес</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112 c.</w:t>
      </w:r>
    </w:p>
    <w:p w14:paraId="2482177D" w14:textId="77777777" w:rsidR="0075553B" w:rsidRPr="00B6511C" w:rsidRDefault="0075553B" w:rsidP="0075553B">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sidRPr="00B6511C">
        <w:rPr>
          <w:rFonts w:ascii="Times New Roman" w:hAnsi="Times New Roman" w:cs="Times New Roman"/>
          <w:color w:val="000000" w:themeColor="text1"/>
          <w:sz w:val="24"/>
          <w:szCs w:val="24"/>
          <w:lang w:val="kk-KZ"/>
        </w:rPr>
        <w:t xml:space="preserve">Орехов В.И., Орехова Т.Р., Балдин К.В. </w:t>
      </w:r>
      <w:r w:rsidRPr="00B6511C">
        <w:rPr>
          <w:rFonts w:ascii="Times New Roman" w:eastAsia="Times New Roman" w:hAnsi="Times New Roman" w:cs="Times New Roman"/>
          <w:color w:val="494949"/>
          <w:sz w:val="24"/>
          <w:szCs w:val="24"/>
          <w:lang w:eastAsia="ru-RU"/>
        </w:rPr>
        <w:t>Антикризисное управление</w:t>
      </w:r>
      <w:r w:rsidRPr="00B6511C">
        <w:rPr>
          <w:rFonts w:ascii="Times New Roman" w:eastAsia="Times New Roman" w:hAnsi="Times New Roman" w:cs="Times New Roman"/>
          <w:color w:val="494949"/>
          <w:sz w:val="24"/>
          <w:szCs w:val="24"/>
          <w:lang w:val="kk-KZ" w:eastAsia="ru-RU"/>
        </w:rPr>
        <w:t>- М.: ИНФРА-М, 2022-541 с.</w:t>
      </w:r>
    </w:p>
    <w:p w14:paraId="2DCBE53C" w14:textId="77777777" w:rsidR="0075553B" w:rsidRPr="00B6511C" w:rsidRDefault="0075553B" w:rsidP="0075553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372 c.</w:t>
      </w:r>
    </w:p>
    <w:p w14:paraId="02260BF0" w14:textId="77777777" w:rsidR="0075553B" w:rsidRPr="00B6511C" w:rsidRDefault="0075553B" w:rsidP="0075553B">
      <w:pPr>
        <w:pStyle w:val="a4"/>
        <w:numPr>
          <w:ilvl w:val="0"/>
          <w:numId w:val="2"/>
        </w:numPr>
        <w:spacing w:after="0" w:line="240" w:lineRule="auto"/>
        <w:ind w:left="0" w:firstLine="0"/>
        <w:rPr>
          <w:rFonts w:ascii="Times New Roman" w:hAnsi="Times New Roman" w:cs="Times New Roman"/>
          <w:sz w:val="24"/>
          <w:szCs w:val="24"/>
          <w:lang w:val="kk-KZ"/>
        </w:rPr>
      </w:pPr>
      <w:r w:rsidRPr="00B6511C">
        <w:rPr>
          <w:rFonts w:ascii="Times New Roman" w:hAnsi="Times New Roman" w:cs="Times New Roman"/>
          <w:sz w:val="24"/>
          <w:szCs w:val="24"/>
          <w:lang w:val="kk-KZ"/>
        </w:rPr>
        <w:lastRenderedPageBreak/>
        <w:t>Соклакова И.В., Горлов В.В., Кузьмина Е.Ю. Управление потенциалом предприятия в условиях кризиса-М.: Дашков и К, 2021-194 с.</w:t>
      </w:r>
    </w:p>
    <w:p w14:paraId="08A4A133" w14:textId="77777777" w:rsidR="0075553B" w:rsidRPr="00B6511C" w:rsidRDefault="0075553B" w:rsidP="0075553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Альпина </w:t>
      </w:r>
      <w:proofErr w:type="spellStart"/>
      <w:r w:rsidRPr="00B6511C">
        <w:rPr>
          <w:rFonts w:ascii="Times New Roman" w:eastAsia="Times New Roman" w:hAnsi="Times New Roman" w:cs="Times New Roman"/>
          <w:color w:val="000000"/>
          <w:sz w:val="24"/>
          <w:szCs w:val="24"/>
          <w:lang w:eastAsia="ru-RU"/>
        </w:rPr>
        <w:t>Паблишер</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176 c.</w:t>
      </w:r>
    </w:p>
    <w:p w14:paraId="2EC8DF0C" w14:textId="77777777" w:rsidR="0075553B" w:rsidRPr="00B6511C" w:rsidRDefault="0075553B" w:rsidP="0075553B">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sidRPr="00B6511C">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6B219EB2" w14:textId="77777777" w:rsidR="0075553B" w:rsidRPr="00B6511C" w:rsidRDefault="0075553B" w:rsidP="0075553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rPr>
        <w:t>Черненко В. А. Антикризисное управление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418 c.</w:t>
      </w:r>
    </w:p>
    <w:p w14:paraId="03D21156" w14:textId="77777777" w:rsidR="0075553B" w:rsidRPr="00B6511C" w:rsidRDefault="0075553B" w:rsidP="0075553B">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2CEFB316" w14:textId="77777777" w:rsidR="0075553B" w:rsidRPr="00B6511C" w:rsidRDefault="0075553B" w:rsidP="0075553B">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Қосымша әдебиеттер:</w:t>
      </w:r>
    </w:p>
    <w:p w14:paraId="02B6183B" w14:textId="77777777" w:rsidR="0075553B" w:rsidRPr="00B6511C" w:rsidRDefault="0075553B" w:rsidP="0075553B">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ECC3C9E" w14:textId="77777777" w:rsidR="0075553B" w:rsidRPr="00B6511C" w:rsidRDefault="0075553B" w:rsidP="0075553B">
      <w:pPr>
        <w:tabs>
          <w:tab w:val="left" w:pos="39"/>
        </w:tabs>
        <w:spacing w:after="0" w:line="240" w:lineRule="auto"/>
        <w:jc w:val="both"/>
        <w:rPr>
          <w:rStyle w:val="a5"/>
          <w:rFonts w:ascii="Times New Roman" w:hAnsi="Times New Roman" w:cs="Times New Roman"/>
          <w:b w:val="0"/>
          <w:bCs w:val="0"/>
          <w:color w:val="212529"/>
          <w:sz w:val="24"/>
          <w:szCs w:val="24"/>
          <w:shd w:val="clear" w:color="auto" w:fill="F4F4F4"/>
          <w:lang w:val="kk-KZ"/>
        </w:rPr>
      </w:pPr>
      <w:r w:rsidRPr="00B6511C">
        <w:rPr>
          <w:rFonts w:ascii="Times New Roman" w:eastAsia="Calibri" w:hAnsi="Times New Roman" w:cs="Times New Roman"/>
          <w:color w:val="000000" w:themeColor="text1"/>
          <w:sz w:val="24"/>
          <w:szCs w:val="24"/>
          <w:lang w:val="kk-KZ"/>
        </w:rPr>
        <w:t xml:space="preserve">2. Оксфорд </w:t>
      </w:r>
      <w:r w:rsidRPr="00B6511C">
        <w:rPr>
          <w:rStyle w:val="a5"/>
          <w:rFonts w:ascii="Times New Roman" w:hAnsi="Times New Roman" w:cs="Times New Roman"/>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1C3E412F" w14:textId="77777777" w:rsidR="0075553B" w:rsidRPr="00B6511C" w:rsidRDefault="0075553B" w:rsidP="0075553B">
      <w:pPr>
        <w:pStyle w:val="a4"/>
        <w:spacing w:after="0" w:line="240" w:lineRule="auto"/>
        <w:ind w:left="0"/>
        <w:jc w:val="both"/>
        <w:rPr>
          <w:rFonts w:ascii="Times New Roman" w:eastAsia="Times New Roman" w:hAnsi="Times New Roman" w:cs="Times New Roman"/>
          <w:sz w:val="24"/>
          <w:szCs w:val="24"/>
          <w:lang w:val="kk-KZ"/>
        </w:rPr>
      </w:pPr>
      <w:r w:rsidRPr="00B6511C">
        <w:rPr>
          <w:rStyle w:val="a5"/>
          <w:rFonts w:ascii="Times New Roman" w:hAnsi="Times New Roman" w:cs="Times New Roman"/>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1B577301" w14:textId="77777777" w:rsidR="0075553B" w:rsidRPr="00B6511C" w:rsidRDefault="0075553B" w:rsidP="0075553B">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04E3B96B" w14:textId="77777777" w:rsidR="0075553B" w:rsidRPr="00B6511C" w:rsidRDefault="0075553B" w:rsidP="0075553B">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5. Стивен П. Роббинс, Тимати А. Джадж   </w:t>
      </w:r>
      <w:r w:rsidRPr="00B6511C">
        <w:rPr>
          <w:rFonts w:ascii="Times New Roman" w:hAnsi="Times New Roman" w:cs="Times New Roman"/>
          <w:color w:val="212529"/>
          <w:sz w:val="24"/>
          <w:szCs w:val="24"/>
          <w:shd w:val="clear" w:color="auto" w:fill="F4F4F4"/>
          <w:lang w:val="kk-KZ"/>
        </w:rPr>
        <w:br/>
      </w:r>
      <w:r w:rsidRPr="00B6511C">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2F4CFF5C" w14:textId="77777777" w:rsidR="0075553B" w:rsidRPr="00B6511C" w:rsidRDefault="0075553B" w:rsidP="0075553B">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6. Р. У. Гриффин Менеджмент = Management  - Астана: "Ұлттық аударма бюросы" ҚҚ, 2018 - 766 б.</w:t>
      </w:r>
    </w:p>
    <w:p w14:paraId="37ED3CD2" w14:textId="77777777" w:rsidR="0075553B" w:rsidRPr="00B6511C" w:rsidRDefault="0075553B" w:rsidP="0075553B">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3431A4F" w14:textId="77777777" w:rsidR="0075553B" w:rsidRPr="00B6511C" w:rsidRDefault="0075553B" w:rsidP="0075553B">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0551041" w14:textId="77777777" w:rsidR="0075553B" w:rsidRPr="00B6511C" w:rsidRDefault="0075553B" w:rsidP="0075553B">
      <w:pPr>
        <w:pStyle w:val="a4"/>
        <w:tabs>
          <w:tab w:val="left" w:pos="1110"/>
        </w:tabs>
        <w:spacing w:after="0" w:line="240" w:lineRule="auto"/>
        <w:ind w:left="0"/>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3A5D795C" w14:textId="77777777" w:rsidR="0075553B" w:rsidRPr="00B6511C" w:rsidRDefault="0075553B" w:rsidP="0075553B">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2F059FE8" w14:textId="77777777" w:rsidR="0075553B" w:rsidRPr="00B6511C" w:rsidRDefault="0075553B" w:rsidP="0075553B">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p>
    <w:p w14:paraId="05D446D3" w14:textId="77777777" w:rsidR="0075553B" w:rsidRPr="00B6511C" w:rsidRDefault="0075553B" w:rsidP="0075553B">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Ғаламтор ресурстары:</w:t>
      </w:r>
    </w:p>
    <w:p w14:paraId="3BADC154" w14:textId="77777777" w:rsidR="0075553B" w:rsidRPr="00B6511C" w:rsidRDefault="0075553B" w:rsidP="0075553B">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1.</w:t>
      </w:r>
      <w:r w:rsidRPr="00B6511C">
        <w:rPr>
          <w:rFonts w:ascii="Times New Roman" w:hAnsi="Times New Roman" w:cs="Times New Roman"/>
          <w:sz w:val="24"/>
          <w:szCs w:val="24"/>
        </w:rPr>
        <w:t xml:space="preserve"> </w:t>
      </w:r>
      <w:r w:rsidRPr="00B6511C">
        <w:rPr>
          <w:rFonts w:ascii="Times New Roman" w:eastAsia="Times New Roman" w:hAnsi="Times New Roman" w:cs="Times New Roman"/>
          <w:color w:val="000000" w:themeColor="text1"/>
          <w:kern w:val="36"/>
          <w:sz w:val="24"/>
          <w:szCs w:val="24"/>
          <w:lang w:val="kk-KZ"/>
        </w:rPr>
        <w:t>https://www.kaznu.kz </w:t>
      </w:r>
    </w:p>
    <w:p w14:paraId="13DE8198" w14:textId="77777777" w:rsidR="0075553B" w:rsidRPr="00B6511C" w:rsidRDefault="0075553B" w:rsidP="0075553B">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2. https://adilet.zan.kz › kaz</w:t>
      </w:r>
    </w:p>
    <w:p w14:paraId="5A1E6209" w14:textId="77777777" w:rsidR="0075553B" w:rsidRPr="00B6511C" w:rsidRDefault="0075553B" w:rsidP="0075553B">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sidRPr="00B6511C">
        <w:rPr>
          <w:rFonts w:ascii="Times New Roman" w:eastAsia="Times New Roman" w:hAnsi="Times New Roman" w:cs="Times New Roman"/>
          <w:color w:val="000000" w:themeColor="text1"/>
          <w:kern w:val="36"/>
          <w:sz w:val="24"/>
          <w:szCs w:val="24"/>
          <w:lang w:val="kk-KZ" w:eastAsia="ru-RU"/>
        </w:rPr>
        <w:t>3.</w:t>
      </w:r>
      <w:r w:rsidRPr="00B6511C">
        <w:rPr>
          <w:rFonts w:ascii="Times New Roman" w:hAnsi="Times New Roman" w:cs="Times New Roman"/>
          <w:sz w:val="24"/>
          <w:szCs w:val="24"/>
          <w:lang w:val="en-US" w:eastAsia="ru-RU"/>
        </w:rPr>
        <w:t xml:space="preserve"> </w:t>
      </w:r>
      <w:r w:rsidRPr="00B6511C">
        <w:rPr>
          <w:rFonts w:ascii="Times New Roman" w:eastAsia="Times New Roman" w:hAnsi="Times New Roman" w:cs="Times New Roman"/>
          <w:color w:val="000000" w:themeColor="text1"/>
          <w:kern w:val="36"/>
          <w:sz w:val="24"/>
          <w:szCs w:val="24"/>
          <w:lang w:val="kk-KZ" w:eastAsia="ru-RU"/>
        </w:rPr>
        <w:t>https://egemen.kz</w:t>
      </w:r>
    </w:p>
    <w:bookmarkEnd w:id="0"/>
    <w:p w14:paraId="2134BAED" w14:textId="77777777" w:rsidR="0075553B" w:rsidRPr="0075553B" w:rsidRDefault="0075553B" w:rsidP="0075553B">
      <w:pPr>
        <w:jc w:val="center"/>
        <w:rPr>
          <w:lang w:val="kk-KZ"/>
        </w:rPr>
      </w:pPr>
    </w:p>
    <w:sectPr w:rsidR="0075553B" w:rsidRPr="00755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hint="default"/>
        <w:b w:val="0"/>
        <w:sz w:val="24"/>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1520654376">
    <w:abstractNumId w:val="1"/>
  </w:num>
  <w:num w:numId="2" w16cid:durableId="87454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58"/>
    <w:rsid w:val="00281258"/>
    <w:rsid w:val="0075553B"/>
    <w:rsid w:val="00B63654"/>
    <w:rsid w:val="00E227B3"/>
    <w:rsid w:val="00EF6081"/>
    <w:rsid w:val="00F3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CA00"/>
  <w15:chartTrackingRefBased/>
  <w15:docId w15:val="{444344C6-CB99-4027-B368-2E087140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B39"/>
    <w:rPr>
      <w:sz w:val="21"/>
      <w:szCs w:val="21"/>
    </w:rPr>
  </w:style>
  <w:style w:type="paragraph" w:styleId="2">
    <w:name w:val="heading 2"/>
    <w:basedOn w:val="a"/>
    <w:next w:val="a"/>
    <w:link w:val="20"/>
    <w:uiPriority w:val="9"/>
    <w:semiHidden/>
    <w:unhideWhenUsed/>
    <w:qFormat/>
    <w:rsid w:val="007555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5553B"/>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75553B"/>
  </w:style>
  <w:style w:type="paragraph" w:styleId="a4">
    <w:name w:val="List Paragraph"/>
    <w:aliases w:val="без абзаца,маркированный,ПАРАГРАФ,List Paragraph"/>
    <w:basedOn w:val="a"/>
    <w:link w:val="a3"/>
    <w:uiPriority w:val="34"/>
    <w:qFormat/>
    <w:rsid w:val="0075553B"/>
    <w:pPr>
      <w:spacing w:line="256" w:lineRule="auto"/>
      <w:ind w:left="720"/>
      <w:contextualSpacing/>
    </w:pPr>
    <w:rPr>
      <w:sz w:val="22"/>
      <w:szCs w:val="22"/>
    </w:rPr>
  </w:style>
  <w:style w:type="character" w:customStyle="1" w:styleId="s1">
    <w:name w:val="s1"/>
    <w:basedOn w:val="a0"/>
    <w:rsid w:val="0075553B"/>
  </w:style>
  <w:style w:type="character" w:styleId="a5">
    <w:name w:val="Strong"/>
    <w:basedOn w:val="a0"/>
    <w:uiPriority w:val="22"/>
    <w:qFormat/>
    <w:rsid w:val="00755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1990</Words>
  <Characters>11344</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2022-12-15T15:21:00Z</dcterms:created>
  <dcterms:modified xsi:type="dcterms:W3CDTF">2022-12-26T12:27:00Z</dcterms:modified>
</cp:coreProperties>
</file>